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725" w:type="dxa"/>
        <w:tblLook w:val="04A0" w:firstRow="1" w:lastRow="0" w:firstColumn="1" w:lastColumn="0" w:noHBand="0" w:noVBand="1"/>
      </w:tblPr>
      <w:tblGrid>
        <w:gridCol w:w="2340"/>
        <w:gridCol w:w="3262"/>
        <w:gridCol w:w="2138"/>
        <w:gridCol w:w="3150"/>
      </w:tblGrid>
      <w:tr w:rsidR="00257124" w:rsidRPr="009F60F4" w:rsidTr="009F60F4">
        <w:tc>
          <w:tcPr>
            <w:tcW w:w="2340" w:type="dxa"/>
          </w:tcPr>
          <w:p w:rsidR="00257124" w:rsidRPr="009F60F4" w:rsidRDefault="00257124">
            <w:pPr>
              <w:rPr>
                <w:b/>
                <w:sz w:val="18"/>
                <w:szCs w:val="18"/>
              </w:rPr>
            </w:pPr>
            <w:r w:rsidRPr="009F60F4">
              <w:rPr>
                <w:b/>
                <w:sz w:val="18"/>
                <w:szCs w:val="18"/>
              </w:rPr>
              <w:t>Method</w:t>
            </w:r>
          </w:p>
        </w:tc>
        <w:tc>
          <w:tcPr>
            <w:tcW w:w="3262" w:type="dxa"/>
          </w:tcPr>
          <w:p w:rsidR="00257124" w:rsidRPr="009F60F4" w:rsidRDefault="00257124">
            <w:pPr>
              <w:rPr>
                <w:sz w:val="18"/>
                <w:szCs w:val="18"/>
              </w:rPr>
            </w:pPr>
            <w:r w:rsidRPr="009F60F4">
              <w:rPr>
                <w:sz w:val="18"/>
                <w:szCs w:val="18"/>
              </w:rPr>
              <w:t>Process</w:t>
            </w:r>
          </w:p>
        </w:tc>
        <w:tc>
          <w:tcPr>
            <w:tcW w:w="2138" w:type="dxa"/>
          </w:tcPr>
          <w:p w:rsidR="00257124" w:rsidRPr="009F60F4" w:rsidRDefault="00257124">
            <w:pPr>
              <w:rPr>
                <w:sz w:val="18"/>
                <w:szCs w:val="18"/>
              </w:rPr>
            </w:pPr>
            <w:r w:rsidRPr="009F60F4">
              <w:rPr>
                <w:sz w:val="18"/>
                <w:szCs w:val="18"/>
              </w:rPr>
              <w:t>Type of material</w:t>
            </w:r>
          </w:p>
        </w:tc>
        <w:tc>
          <w:tcPr>
            <w:tcW w:w="3150" w:type="dxa"/>
          </w:tcPr>
          <w:p w:rsidR="00257124" w:rsidRPr="009F60F4" w:rsidRDefault="00257124">
            <w:pPr>
              <w:rPr>
                <w:sz w:val="18"/>
                <w:szCs w:val="18"/>
              </w:rPr>
            </w:pPr>
            <w:r w:rsidRPr="009F60F4">
              <w:rPr>
                <w:sz w:val="18"/>
                <w:szCs w:val="18"/>
              </w:rPr>
              <w:t>Precautions/Tips</w:t>
            </w:r>
          </w:p>
        </w:tc>
      </w:tr>
      <w:tr w:rsidR="00257124" w:rsidRPr="009F60F4" w:rsidTr="009F60F4">
        <w:tc>
          <w:tcPr>
            <w:tcW w:w="2340" w:type="dxa"/>
          </w:tcPr>
          <w:p w:rsidR="00257124" w:rsidRPr="009F60F4" w:rsidRDefault="00257124">
            <w:pPr>
              <w:rPr>
                <w:sz w:val="18"/>
                <w:szCs w:val="18"/>
              </w:rPr>
            </w:pPr>
            <w:r w:rsidRPr="009F60F4">
              <w:rPr>
                <w:sz w:val="18"/>
                <w:szCs w:val="18"/>
              </w:rPr>
              <w:t>Powder Enhancement using black, white or gray powders</w:t>
            </w:r>
          </w:p>
        </w:tc>
        <w:tc>
          <w:tcPr>
            <w:tcW w:w="3262" w:type="dxa"/>
          </w:tcPr>
          <w:p w:rsidR="00257124" w:rsidRPr="009F60F4" w:rsidRDefault="00257124">
            <w:pPr>
              <w:rPr>
                <w:sz w:val="18"/>
                <w:szCs w:val="18"/>
              </w:rPr>
            </w:pPr>
            <w:r w:rsidRPr="009F60F4">
              <w:rPr>
                <w:sz w:val="18"/>
                <w:szCs w:val="18"/>
              </w:rPr>
              <w:t xml:space="preserve">Enhances latent (non-visible) print.  Powder sticks to sweat and oil in print to create an outline of the print.  This process does not destroy the print.  </w:t>
            </w:r>
          </w:p>
        </w:tc>
        <w:tc>
          <w:tcPr>
            <w:tcW w:w="2138" w:type="dxa"/>
          </w:tcPr>
          <w:p w:rsidR="00257124" w:rsidRPr="009F60F4" w:rsidRDefault="00257124">
            <w:pPr>
              <w:rPr>
                <w:sz w:val="18"/>
                <w:szCs w:val="18"/>
              </w:rPr>
            </w:pPr>
            <w:r w:rsidRPr="009F60F4">
              <w:rPr>
                <w:sz w:val="18"/>
                <w:szCs w:val="18"/>
              </w:rPr>
              <w:t>Use on non-porous or non-absorbent surfaces such as plastic, glass, wood</w:t>
            </w:r>
            <w:r w:rsidR="00531F1E" w:rsidRPr="009F60F4">
              <w:rPr>
                <w:sz w:val="18"/>
                <w:szCs w:val="18"/>
              </w:rPr>
              <w:t xml:space="preserve">, metal.  </w:t>
            </w:r>
          </w:p>
        </w:tc>
        <w:tc>
          <w:tcPr>
            <w:tcW w:w="3150" w:type="dxa"/>
          </w:tcPr>
          <w:p w:rsidR="00257124" w:rsidRPr="009F60F4" w:rsidRDefault="00257124">
            <w:pPr>
              <w:rPr>
                <w:sz w:val="18"/>
                <w:szCs w:val="18"/>
              </w:rPr>
            </w:pPr>
            <w:r w:rsidRPr="009F60F4">
              <w:rPr>
                <w:sz w:val="18"/>
                <w:szCs w:val="18"/>
              </w:rPr>
              <w:t xml:space="preserve">Use gently brushing so the print isn’t smudged.  Lift using tape and transfer to card with labels.  </w:t>
            </w:r>
          </w:p>
        </w:tc>
      </w:tr>
      <w:tr w:rsidR="00257124" w:rsidRPr="009F60F4" w:rsidTr="009F60F4">
        <w:tc>
          <w:tcPr>
            <w:tcW w:w="2340" w:type="dxa"/>
          </w:tcPr>
          <w:p w:rsidR="00257124" w:rsidRPr="009F60F4" w:rsidRDefault="00257124">
            <w:pPr>
              <w:rPr>
                <w:sz w:val="18"/>
                <w:szCs w:val="18"/>
              </w:rPr>
            </w:pPr>
            <w:r w:rsidRPr="009F60F4">
              <w:rPr>
                <w:sz w:val="18"/>
                <w:szCs w:val="18"/>
              </w:rPr>
              <w:t>Fluorescent Powder Enhancement (orange, green, yellow, blue)</w:t>
            </w:r>
          </w:p>
        </w:tc>
        <w:tc>
          <w:tcPr>
            <w:tcW w:w="3262" w:type="dxa"/>
          </w:tcPr>
          <w:p w:rsidR="00257124" w:rsidRPr="009F60F4" w:rsidRDefault="00257124">
            <w:pPr>
              <w:rPr>
                <w:sz w:val="18"/>
                <w:szCs w:val="18"/>
              </w:rPr>
            </w:pPr>
            <w:r w:rsidRPr="009F60F4">
              <w:rPr>
                <w:sz w:val="18"/>
                <w:szCs w:val="18"/>
              </w:rPr>
              <w:t xml:space="preserve">Dust print lightly.  Use a fluorescent light to make prints visible.  </w:t>
            </w:r>
          </w:p>
        </w:tc>
        <w:tc>
          <w:tcPr>
            <w:tcW w:w="2138" w:type="dxa"/>
          </w:tcPr>
          <w:p w:rsidR="00257124" w:rsidRPr="009F60F4" w:rsidRDefault="00257124">
            <w:pPr>
              <w:rPr>
                <w:sz w:val="18"/>
                <w:szCs w:val="18"/>
              </w:rPr>
            </w:pPr>
            <w:r w:rsidRPr="009F60F4">
              <w:rPr>
                <w:sz w:val="18"/>
                <w:szCs w:val="18"/>
              </w:rPr>
              <w:t xml:space="preserve">Use on non-porous materials. </w:t>
            </w:r>
          </w:p>
        </w:tc>
        <w:tc>
          <w:tcPr>
            <w:tcW w:w="3150" w:type="dxa"/>
          </w:tcPr>
          <w:p w:rsidR="00257124" w:rsidRPr="009F60F4" w:rsidRDefault="00257124">
            <w:pPr>
              <w:rPr>
                <w:sz w:val="18"/>
                <w:szCs w:val="18"/>
              </w:rPr>
            </w:pPr>
            <w:r w:rsidRPr="009F60F4">
              <w:rPr>
                <w:sz w:val="18"/>
                <w:szCs w:val="18"/>
              </w:rPr>
              <w:t xml:space="preserve">Use gentle brushing.  Lift with tape and transfer to card.  </w:t>
            </w:r>
          </w:p>
        </w:tc>
      </w:tr>
      <w:tr w:rsidR="00257124" w:rsidRPr="009F60F4" w:rsidTr="009F60F4">
        <w:tc>
          <w:tcPr>
            <w:tcW w:w="2340" w:type="dxa"/>
          </w:tcPr>
          <w:p w:rsidR="00257124" w:rsidRPr="009F60F4" w:rsidRDefault="00257124">
            <w:pPr>
              <w:rPr>
                <w:sz w:val="18"/>
                <w:szCs w:val="18"/>
              </w:rPr>
            </w:pPr>
            <w:r w:rsidRPr="009F60F4">
              <w:rPr>
                <w:sz w:val="18"/>
                <w:szCs w:val="18"/>
              </w:rPr>
              <w:t>Magnetic Powder</w:t>
            </w:r>
          </w:p>
        </w:tc>
        <w:tc>
          <w:tcPr>
            <w:tcW w:w="3262" w:type="dxa"/>
          </w:tcPr>
          <w:p w:rsidR="00257124" w:rsidRPr="009F60F4" w:rsidRDefault="00257124">
            <w:pPr>
              <w:rPr>
                <w:sz w:val="18"/>
                <w:szCs w:val="18"/>
              </w:rPr>
            </w:pPr>
            <w:r w:rsidRPr="009F60F4">
              <w:rPr>
                <w:sz w:val="18"/>
                <w:szCs w:val="18"/>
              </w:rPr>
              <w:t xml:space="preserve">Uses special magnetic wand and powder containing iron.  The powder is applied.  The remainder of powder on the wand is returned to the jar.  The empty wand is used to clean up excess powder on the print.  </w:t>
            </w:r>
          </w:p>
        </w:tc>
        <w:tc>
          <w:tcPr>
            <w:tcW w:w="2138" w:type="dxa"/>
          </w:tcPr>
          <w:p w:rsidR="00257124" w:rsidRPr="009F60F4" w:rsidRDefault="00257124">
            <w:pPr>
              <w:rPr>
                <w:sz w:val="18"/>
                <w:szCs w:val="18"/>
              </w:rPr>
            </w:pPr>
            <w:r w:rsidRPr="009F60F4">
              <w:rPr>
                <w:sz w:val="18"/>
                <w:szCs w:val="18"/>
              </w:rPr>
              <w:t>Non-porous materials</w:t>
            </w:r>
          </w:p>
        </w:tc>
        <w:tc>
          <w:tcPr>
            <w:tcW w:w="3150" w:type="dxa"/>
          </w:tcPr>
          <w:p w:rsidR="00257124" w:rsidRPr="009F60F4" w:rsidRDefault="00257124">
            <w:pPr>
              <w:rPr>
                <w:sz w:val="18"/>
                <w:szCs w:val="18"/>
              </w:rPr>
            </w:pPr>
            <w:r w:rsidRPr="009F60F4">
              <w:rPr>
                <w:sz w:val="18"/>
                <w:szCs w:val="18"/>
              </w:rPr>
              <w:t xml:space="preserve">Use care with magnetic powder.  Use light application.  Iron may damage print if brushed on too heavily.  </w:t>
            </w:r>
          </w:p>
        </w:tc>
      </w:tr>
      <w:tr w:rsidR="00257124" w:rsidRPr="009F60F4" w:rsidTr="009F60F4">
        <w:tc>
          <w:tcPr>
            <w:tcW w:w="2340" w:type="dxa"/>
          </w:tcPr>
          <w:p w:rsidR="00257124" w:rsidRPr="009F60F4" w:rsidRDefault="00531F1E">
            <w:pPr>
              <w:rPr>
                <w:sz w:val="18"/>
                <w:szCs w:val="18"/>
              </w:rPr>
            </w:pPr>
            <w:r w:rsidRPr="009F60F4">
              <w:rPr>
                <w:sz w:val="18"/>
                <w:szCs w:val="18"/>
              </w:rPr>
              <w:t>Superglue or cyanoacrylate fuming</w:t>
            </w:r>
          </w:p>
        </w:tc>
        <w:tc>
          <w:tcPr>
            <w:tcW w:w="3262" w:type="dxa"/>
          </w:tcPr>
          <w:p w:rsidR="00257124" w:rsidRPr="009F60F4" w:rsidRDefault="00531F1E">
            <w:pPr>
              <w:rPr>
                <w:sz w:val="18"/>
                <w:szCs w:val="18"/>
              </w:rPr>
            </w:pPr>
            <w:r w:rsidRPr="009F60F4">
              <w:rPr>
                <w:sz w:val="18"/>
                <w:szCs w:val="18"/>
              </w:rPr>
              <w:t xml:space="preserve">The evidence item to be tested is placed in a closed chamber.  Superglue is placed in a small dish or a wand may be used.  The container is closed and the superglue is allowed to vaporize for about 30 minutes.  The vapors react with the amino acids in the print to produce a white coating on the print.  This can then be dusted with a powder to enhance more.  </w:t>
            </w:r>
          </w:p>
        </w:tc>
        <w:tc>
          <w:tcPr>
            <w:tcW w:w="2138" w:type="dxa"/>
          </w:tcPr>
          <w:p w:rsidR="00257124" w:rsidRPr="009F60F4" w:rsidRDefault="00531F1E">
            <w:pPr>
              <w:rPr>
                <w:sz w:val="18"/>
                <w:szCs w:val="18"/>
              </w:rPr>
            </w:pPr>
            <w:r w:rsidRPr="009F60F4">
              <w:rPr>
                <w:sz w:val="18"/>
                <w:szCs w:val="18"/>
              </w:rPr>
              <w:t xml:space="preserve">Use on non-porous materials.  </w:t>
            </w:r>
          </w:p>
        </w:tc>
        <w:tc>
          <w:tcPr>
            <w:tcW w:w="3150" w:type="dxa"/>
          </w:tcPr>
          <w:p w:rsidR="00257124" w:rsidRPr="009F60F4" w:rsidRDefault="00531F1E">
            <w:pPr>
              <w:rPr>
                <w:sz w:val="18"/>
                <w:szCs w:val="18"/>
              </w:rPr>
            </w:pPr>
            <w:r w:rsidRPr="009F60F4">
              <w:rPr>
                <w:sz w:val="18"/>
                <w:szCs w:val="18"/>
              </w:rPr>
              <w:t xml:space="preserve">Lift with tape and transfer to card.  Label with identifying information.  </w:t>
            </w:r>
          </w:p>
        </w:tc>
      </w:tr>
      <w:tr w:rsidR="00531F1E" w:rsidRPr="009F60F4" w:rsidTr="009F60F4">
        <w:tc>
          <w:tcPr>
            <w:tcW w:w="2340" w:type="dxa"/>
          </w:tcPr>
          <w:p w:rsidR="00531F1E" w:rsidRPr="009F60F4" w:rsidRDefault="00531F1E">
            <w:pPr>
              <w:rPr>
                <w:sz w:val="18"/>
                <w:szCs w:val="18"/>
              </w:rPr>
            </w:pPr>
            <w:r w:rsidRPr="009F60F4">
              <w:rPr>
                <w:sz w:val="18"/>
                <w:szCs w:val="18"/>
              </w:rPr>
              <w:t>Iodine Fuming</w:t>
            </w:r>
          </w:p>
          <w:p w:rsidR="00531F1E" w:rsidRPr="009F60F4" w:rsidRDefault="00531F1E">
            <w:pPr>
              <w:rPr>
                <w:sz w:val="18"/>
                <w:szCs w:val="18"/>
              </w:rPr>
            </w:pPr>
            <w:r w:rsidRPr="009F60F4">
              <w:rPr>
                <w:sz w:val="18"/>
                <w:szCs w:val="18"/>
              </w:rPr>
              <w:t>(oldest method in use)</w:t>
            </w:r>
          </w:p>
        </w:tc>
        <w:tc>
          <w:tcPr>
            <w:tcW w:w="3262" w:type="dxa"/>
          </w:tcPr>
          <w:p w:rsidR="00531F1E" w:rsidRPr="009F60F4" w:rsidRDefault="00531F1E">
            <w:pPr>
              <w:rPr>
                <w:sz w:val="18"/>
                <w:szCs w:val="18"/>
              </w:rPr>
            </w:pPr>
            <w:r w:rsidRPr="009F60F4">
              <w:rPr>
                <w:sz w:val="18"/>
                <w:szCs w:val="18"/>
              </w:rPr>
              <w:t xml:space="preserve">Iodine crystals or tincture of iodine liquid is placed in a container.  The evidence item is placed in the chamber and it is closed tightly.  The iodine is allowed to sublimate to produce vapor that react with the sweat and amino acids in the print.  The print will turn a brown color.  </w:t>
            </w:r>
          </w:p>
        </w:tc>
        <w:tc>
          <w:tcPr>
            <w:tcW w:w="2138" w:type="dxa"/>
          </w:tcPr>
          <w:p w:rsidR="00531F1E" w:rsidRPr="009F60F4" w:rsidRDefault="00531F1E">
            <w:pPr>
              <w:rPr>
                <w:sz w:val="18"/>
                <w:szCs w:val="18"/>
              </w:rPr>
            </w:pPr>
            <w:r w:rsidRPr="009F60F4">
              <w:rPr>
                <w:sz w:val="18"/>
                <w:szCs w:val="18"/>
              </w:rPr>
              <w:t xml:space="preserve">Use on porous materials such as papers, checks, documents.  </w:t>
            </w:r>
          </w:p>
        </w:tc>
        <w:tc>
          <w:tcPr>
            <w:tcW w:w="3150" w:type="dxa"/>
          </w:tcPr>
          <w:p w:rsidR="00531F1E" w:rsidRPr="009F60F4" w:rsidRDefault="00531F1E">
            <w:pPr>
              <w:rPr>
                <w:sz w:val="18"/>
                <w:szCs w:val="18"/>
              </w:rPr>
            </w:pPr>
            <w:r w:rsidRPr="009F60F4">
              <w:rPr>
                <w:sz w:val="18"/>
                <w:szCs w:val="18"/>
              </w:rPr>
              <w:t xml:space="preserve">Prints will fade quickly so they need to be photographed.  Prints may be treated with a starch solution to preserve them for longer time. The iodine reacts with the starch to produce a purple color on the print.  Apply tape over the fixed print to keep dry.  </w:t>
            </w:r>
          </w:p>
        </w:tc>
      </w:tr>
      <w:tr w:rsidR="00531F1E" w:rsidRPr="009F60F4" w:rsidTr="009F60F4">
        <w:tc>
          <w:tcPr>
            <w:tcW w:w="2340" w:type="dxa"/>
          </w:tcPr>
          <w:p w:rsidR="00531F1E" w:rsidRPr="009F60F4" w:rsidRDefault="00531F1E">
            <w:pPr>
              <w:rPr>
                <w:sz w:val="18"/>
                <w:szCs w:val="18"/>
              </w:rPr>
            </w:pPr>
            <w:proofErr w:type="spellStart"/>
            <w:r w:rsidRPr="009F60F4">
              <w:rPr>
                <w:sz w:val="18"/>
                <w:szCs w:val="18"/>
              </w:rPr>
              <w:t>Ninhydrin</w:t>
            </w:r>
            <w:proofErr w:type="spellEnd"/>
            <w:r w:rsidRPr="009F60F4">
              <w:rPr>
                <w:sz w:val="18"/>
                <w:szCs w:val="18"/>
              </w:rPr>
              <w:t xml:space="preserve"> fuming</w:t>
            </w:r>
          </w:p>
        </w:tc>
        <w:tc>
          <w:tcPr>
            <w:tcW w:w="3262" w:type="dxa"/>
          </w:tcPr>
          <w:p w:rsidR="00531F1E" w:rsidRPr="009F60F4" w:rsidRDefault="00531F1E">
            <w:pPr>
              <w:rPr>
                <w:sz w:val="18"/>
                <w:szCs w:val="18"/>
              </w:rPr>
            </w:pPr>
            <w:proofErr w:type="spellStart"/>
            <w:r w:rsidRPr="009F60F4">
              <w:rPr>
                <w:sz w:val="18"/>
                <w:szCs w:val="18"/>
              </w:rPr>
              <w:t>Ninhydrin</w:t>
            </w:r>
            <w:proofErr w:type="spellEnd"/>
            <w:r w:rsidRPr="009F60F4">
              <w:rPr>
                <w:sz w:val="18"/>
                <w:szCs w:val="18"/>
              </w:rPr>
              <w:t xml:space="preserve"> is mixed and sprayed on the item.  The </w:t>
            </w:r>
            <w:proofErr w:type="spellStart"/>
            <w:r w:rsidRPr="009F60F4">
              <w:rPr>
                <w:sz w:val="18"/>
                <w:szCs w:val="18"/>
              </w:rPr>
              <w:t>ninhydrin</w:t>
            </w:r>
            <w:proofErr w:type="spellEnd"/>
            <w:r w:rsidRPr="009F60F4">
              <w:rPr>
                <w:sz w:val="18"/>
                <w:szCs w:val="18"/>
              </w:rPr>
              <w:t xml:space="preserve"> reacts with the amino acids in the print.  The print appears as a light gray.  The development can be done at room temperature but will take several hours to possibly days.  Process may be accelerated by placing the prints between damp paper towels and applying heat with an iron.  </w:t>
            </w:r>
          </w:p>
        </w:tc>
        <w:tc>
          <w:tcPr>
            <w:tcW w:w="2138" w:type="dxa"/>
          </w:tcPr>
          <w:p w:rsidR="00531F1E" w:rsidRPr="009F60F4" w:rsidRDefault="009F60F4">
            <w:pPr>
              <w:rPr>
                <w:sz w:val="18"/>
                <w:szCs w:val="18"/>
              </w:rPr>
            </w:pPr>
            <w:r w:rsidRPr="009F60F4">
              <w:rPr>
                <w:sz w:val="18"/>
                <w:szCs w:val="18"/>
              </w:rPr>
              <w:t xml:space="preserve">Use on porous materials. </w:t>
            </w:r>
          </w:p>
        </w:tc>
        <w:tc>
          <w:tcPr>
            <w:tcW w:w="3150" w:type="dxa"/>
          </w:tcPr>
          <w:p w:rsidR="00531F1E" w:rsidRPr="009F60F4" w:rsidRDefault="009F60F4">
            <w:pPr>
              <w:rPr>
                <w:sz w:val="18"/>
                <w:szCs w:val="18"/>
              </w:rPr>
            </w:pPr>
            <w:r>
              <w:rPr>
                <w:sz w:val="18"/>
                <w:szCs w:val="18"/>
              </w:rPr>
              <w:t xml:space="preserve">This method CANNOT be done before Iodine fuming or Physical Developer (silver nitrate).  </w:t>
            </w:r>
          </w:p>
        </w:tc>
      </w:tr>
      <w:tr w:rsidR="009F60F4" w:rsidRPr="009F60F4" w:rsidTr="009F60F4">
        <w:tc>
          <w:tcPr>
            <w:tcW w:w="2340" w:type="dxa"/>
          </w:tcPr>
          <w:p w:rsidR="009F60F4" w:rsidRPr="009F60F4" w:rsidRDefault="009F60F4">
            <w:pPr>
              <w:rPr>
                <w:sz w:val="18"/>
                <w:szCs w:val="18"/>
              </w:rPr>
            </w:pPr>
            <w:r>
              <w:rPr>
                <w:sz w:val="18"/>
                <w:szCs w:val="18"/>
              </w:rPr>
              <w:t>Silver Nitrate or Physical Developer</w:t>
            </w:r>
          </w:p>
        </w:tc>
        <w:tc>
          <w:tcPr>
            <w:tcW w:w="3262" w:type="dxa"/>
          </w:tcPr>
          <w:p w:rsidR="009F60F4" w:rsidRPr="009F60F4" w:rsidRDefault="009F60F4">
            <w:pPr>
              <w:rPr>
                <w:sz w:val="18"/>
                <w:szCs w:val="18"/>
              </w:rPr>
            </w:pPr>
            <w:r>
              <w:rPr>
                <w:sz w:val="18"/>
                <w:szCs w:val="18"/>
              </w:rPr>
              <w:t xml:space="preserve">Silver reacts with the sodium chloride in the sweat to produce an insoluble white silver chloride compound that adheres to the print.  </w:t>
            </w:r>
          </w:p>
        </w:tc>
        <w:tc>
          <w:tcPr>
            <w:tcW w:w="2138" w:type="dxa"/>
          </w:tcPr>
          <w:p w:rsidR="009F60F4" w:rsidRPr="009F60F4" w:rsidRDefault="009F60F4">
            <w:pPr>
              <w:rPr>
                <w:sz w:val="18"/>
                <w:szCs w:val="18"/>
              </w:rPr>
            </w:pPr>
            <w:r>
              <w:rPr>
                <w:sz w:val="18"/>
                <w:szCs w:val="18"/>
              </w:rPr>
              <w:t>Use on porous surfaces</w:t>
            </w:r>
          </w:p>
        </w:tc>
        <w:tc>
          <w:tcPr>
            <w:tcW w:w="3150" w:type="dxa"/>
          </w:tcPr>
          <w:p w:rsidR="009F60F4" w:rsidRDefault="009F60F4">
            <w:pPr>
              <w:rPr>
                <w:sz w:val="18"/>
                <w:szCs w:val="18"/>
              </w:rPr>
            </w:pPr>
            <w:r>
              <w:rPr>
                <w:sz w:val="18"/>
                <w:szCs w:val="18"/>
              </w:rPr>
              <w:t xml:space="preserve">Method must be done before attempts to use </w:t>
            </w:r>
            <w:proofErr w:type="spellStart"/>
            <w:r>
              <w:rPr>
                <w:sz w:val="18"/>
                <w:szCs w:val="18"/>
              </w:rPr>
              <w:t>ninhydrin</w:t>
            </w:r>
            <w:proofErr w:type="spellEnd"/>
            <w:r>
              <w:rPr>
                <w:sz w:val="18"/>
                <w:szCs w:val="18"/>
              </w:rPr>
              <w:t xml:space="preserve">.  </w:t>
            </w:r>
          </w:p>
        </w:tc>
      </w:tr>
      <w:tr w:rsidR="00A25F40" w:rsidRPr="009F60F4" w:rsidTr="009F60F4">
        <w:tc>
          <w:tcPr>
            <w:tcW w:w="2340" w:type="dxa"/>
          </w:tcPr>
          <w:p w:rsidR="00A25F40" w:rsidRDefault="00A25F40">
            <w:pPr>
              <w:rPr>
                <w:sz w:val="18"/>
                <w:szCs w:val="18"/>
              </w:rPr>
            </w:pPr>
            <w:r>
              <w:rPr>
                <w:sz w:val="18"/>
                <w:szCs w:val="18"/>
              </w:rPr>
              <w:t>Special Lighting/lasers</w:t>
            </w:r>
          </w:p>
        </w:tc>
        <w:tc>
          <w:tcPr>
            <w:tcW w:w="3262" w:type="dxa"/>
          </w:tcPr>
          <w:p w:rsidR="00A25F40" w:rsidRDefault="00A25F40">
            <w:pPr>
              <w:rPr>
                <w:sz w:val="18"/>
                <w:szCs w:val="18"/>
              </w:rPr>
            </w:pPr>
            <w:r>
              <w:rPr>
                <w:sz w:val="18"/>
                <w:szCs w:val="18"/>
              </w:rPr>
              <w:t xml:space="preserve">Based on the excitation of electrons in atoms from ground state to high energy.  When energy is released it can be in the form of a visible light wavelength.  </w:t>
            </w:r>
          </w:p>
        </w:tc>
        <w:tc>
          <w:tcPr>
            <w:tcW w:w="2138" w:type="dxa"/>
          </w:tcPr>
          <w:p w:rsidR="00A25F40" w:rsidRDefault="00A25F40">
            <w:pPr>
              <w:rPr>
                <w:sz w:val="18"/>
                <w:szCs w:val="18"/>
              </w:rPr>
            </w:pPr>
          </w:p>
        </w:tc>
        <w:tc>
          <w:tcPr>
            <w:tcW w:w="3150" w:type="dxa"/>
          </w:tcPr>
          <w:p w:rsidR="00A25F40" w:rsidRDefault="00A25F40">
            <w:pPr>
              <w:rPr>
                <w:sz w:val="18"/>
                <w:szCs w:val="18"/>
              </w:rPr>
            </w:pPr>
          </w:p>
        </w:tc>
      </w:tr>
    </w:tbl>
    <w:p w:rsidR="00A25F40" w:rsidRDefault="00A25F40" w:rsidP="00A25F40">
      <w:pPr>
        <w:rPr>
          <w:sz w:val="18"/>
          <w:szCs w:val="18"/>
        </w:rPr>
      </w:pPr>
    </w:p>
    <w:p w:rsidR="00A25F40" w:rsidRDefault="00A25F40" w:rsidP="00A25F40">
      <w:pPr>
        <w:rPr>
          <w:sz w:val="18"/>
          <w:szCs w:val="18"/>
        </w:rPr>
      </w:pPr>
    </w:p>
    <w:p w:rsidR="00A25F40" w:rsidRPr="00A25F40" w:rsidRDefault="00A25F40" w:rsidP="00A25F40">
      <w:pPr>
        <w:rPr>
          <w:sz w:val="18"/>
          <w:szCs w:val="18"/>
        </w:rPr>
      </w:pPr>
      <w:r>
        <w:rPr>
          <w:sz w:val="18"/>
          <w:szCs w:val="18"/>
        </w:rPr>
        <w:t xml:space="preserve">You Tube videos available to see demonstrations of each technique.  </w:t>
      </w:r>
    </w:p>
    <w:sectPr w:rsidR="00A25F40" w:rsidRPr="00A25F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CE" w:rsidRDefault="00BF6ECE" w:rsidP="00257124">
      <w:pPr>
        <w:spacing w:after="0" w:line="240" w:lineRule="auto"/>
      </w:pPr>
      <w:r>
        <w:separator/>
      </w:r>
    </w:p>
  </w:endnote>
  <w:endnote w:type="continuationSeparator" w:id="0">
    <w:p w:rsidR="00BF6ECE" w:rsidRDefault="00BF6ECE" w:rsidP="0025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77" w:rsidRDefault="009C0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77" w:rsidRDefault="009C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77" w:rsidRDefault="009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CE" w:rsidRDefault="00BF6ECE" w:rsidP="00257124">
      <w:pPr>
        <w:spacing w:after="0" w:line="240" w:lineRule="auto"/>
      </w:pPr>
      <w:r>
        <w:separator/>
      </w:r>
    </w:p>
  </w:footnote>
  <w:footnote w:type="continuationSeparator" w:id="0">
    <w:p w:rsidR="00BF6ECE" w:rsidRDefault="00BF6ECE" w:rsidP="00257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77" w:rsidRDefault="009C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257124">
      <w:tc>
        <w:tcPr>
          <w:tcW w:w="3500" w:type="pct"/>
          <w:tcBorders>
            <w:bottom w:val="single" w:sz="4" w:space="0" w:color="auto"/>
          </w:tcBorders>
          <w:vAlign w:val="bottom"/>
        </w:tcPr>
        <w:p w:rsidR="00257124" w:rsidRDefault="00257124" w:rsidP="00257124">
          <w:pPr>
            <w:pStyle w:val="Header"/>
            <w:jc w:val="right"/>
            <w:rPr>
              <w:bCs/>
              <w:noProof/>
              <w:color w:val="7B7B7B" w:themeColor="accent3" w:themeShade="BF"/>
              <w:sz w:val="24"/>
              <w:szCs w:val="24"/>
            </w:rPr>
          </w:pPr>
          <w:r>
            <w:rPr>
              <w:b/>
              <w:bCs/>
              <w:color w:val="7B7B7B" w:themeColor="accent3" w:themeShade="BF"/>
              <w:sz w:val="24"/>
              <w:szCs w:val="24"/>
            </w:rPr>
            <w:t>[</w:t>
          </w:r>
          <w:sdt>
            <w:sdtPr>
              <w:rPr>
                <w:b/>
                <w:bCs/>
                <w:caps/>
                <w:sz w:val="24"/>
                <w:szCs w:val="24"/>
              </w:rPr>
              <w:alias w:val="Title"/>
              <w:id w:val="-1152061544"/>
              <w:placeholder>
                <w:docPart w:val="B93D873EFFEA4B8FB61168E8EE44E47E"/>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Fingerprint Development Methods</w:t>
              </w:r>
            </w:sdtContent>
          </w:sdt>
          <w:r>
            <w:rPr>
              <w:b/>
              <w:bCs/>
              <w:color w:val="7B7B7B" w:themeColor="accent3" w:themeShade="BF"/>
              <w:sz w:val="24"/>
              <w:szCs w:val="24"/>
            </w:rPr>
            <w:t>]</w:t>
          </w:r>
        </w:p>
      </w:tc>
      <w:sdt>
        <w:sdtPr>
          <w:rPr>
            <w:color w:val="FFFFFF" w:themeColor="background1"/>
          </w:rPr>
          <w:alias w:val="Date"/>
          <w:id w:val="-31960796"/>
          <w:placeholder>
            <w:docPart w:val="E8E22B2A1AC546F6B744E36EBCCF07A6"/>
          </w:placeholder>
          <w:showingPlcHdr/>
          <w:dataBinding w:prefixMappings="xmlns:ns0='http://schemas.microsoft.com/office/2006/coverPageProps'" w:xpath="/ns0:CoverPageProperties[1]/ns0:PublishDate[1]" w:storeItemID="{55AF091B-3C7A-41E3-B477-F2FDAA23CFDA}"/>
          <w:date w:fullDate="2015-10-14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257124" w:rsidRDefault="009C0077" w:rsidP="00257124">
              <w:pPr>
                <w:pStyle w:val="Header"/>
                <w:rPr>
                  <w:color w:val="FFFFFF" w:themeColor="background1"/>
                </w:rPr>
              </w:pPr>
              <w:r>
                <w:rPr>
                  <w:color w:val="FFFFFF" w:themeColor="background1"/>
                </w:rPr>
                <w:t>[Pick the date]</w:t>
              </w:r>
            </w:p>
          </w:tc>
        </w:sdtContent>
      </w:sdt>
    </w:tr>
  </w:tbl>
  <w:p w:rsidR="00257124" w:rsidRDefault="00257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77" w:rsidRDefault="009C0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24"/>
    <w:rsid w:val="00257124"/>
    <w:rsid w:val="00531F1E"/>
    <w:rsid w:val="00635CFF"/>
    <w:rsid w:val="009C0077"/>
    <w:rsid w:val="009F60F4"/>
    <w:rsid w:val="00A25F40"/>
    <w:rsid w:val="00B46FC5"/>
    <w:rsid w:val="00B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8EC9-AE62-4699-BCC9-47874727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24"/>
  </w:style>
  <w:style w:type="paragraph" w:styleId="Footer">
    <w:name w:val="footer"/>
    <w:basedOn w:val="Normal"/>
    <w:link w:val="FooterChar"/>
    <w:uiPriority w:val="99"/>
    <w:unhideWhenUsed/>
    <w:rsid w:val="0025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3D873EFFEA4B8FB61168E8EE44E47E"/>
        <w:category>
          <w:name w:val="General"/>
          <w:gallery w:val="placeholder"/>
        </w:category>
        <w:types>
          <w:type w:val="bbPlcHdr"/>
        </w:types>
        <w:behaviors>
          <w:behavior w:val="content"/>
        </w:behaviors>
        <w:guid w:val="{F5602705-5B11-4935-BD48-F591BC6115C3}"/>
      </w:docPartPr>
      <w:docPartBody>
        <w:p w:rsidR="00AF0C6E" w:rsidRDefault="00755BEB" w:rsidP="00755BEB">
          <w:pPr>
            <w:pStyle w:val="B93D873EFFEA4B8FB61168E8EE44E47E"/>
          </w:pPr>
          <w:r>
            <w:rPr>
              <w:b/>
              <w:bCs/>
              <w:caps/>
              <w:sz w:val="24"/>
              <w:szCs w:val="24"/>
            </w:rPr>
            <w:t>Type the document title</w:t>
          </w:r>
        </w:p>
      </w:docPartBody>
    </w:docPart>
    <w:docPart>
      <w:docPartPr>
        <w:name w:val="E8E22B2A1AC546F6B744E36EBCCF07A6"/>
        <w:category>
          <w:name w:val="General"/>
          <w:gallery w:val="placeholder"/>
        </w:category>
        <w:types>
          <w:type w:val="bbPlcHdr"/>
        </w:types>
        <w:behaviors>
          <w:behavior w:val="content"/>
        </w:behaviors>
        <w:guid w:val="{FCAE18F2-2AC4-4173-9CE8-E4E7E484131F}"/>
      </w:docPartPr>
      <w:docPartBody>
        <w:p w:rsidR="00AF0C6E" w:rsidRDefault="00755BEB" w:rsidP="00755BEB">
          <w:pPr>
            <w:pStyle w:val="E8E22B2A1AC546F6B744E36EBCCF07A6"/>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B"/>
    <w:rsid w:val="00570683"/>
    <w:rsid w:val="00755BEB"/>
    <w:rsid w:val="00A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3D873EFFEA4B8FB61168E8EE44E47E">
    <w:name w:val="B93D873EFFEA4B8FB61168E8EE44E47E"/>
    <w:rsid w:val="00755BEB"/>
  </w:style>
  <w:style w:type="paragraph" w:customStyle="1" w:styleId="E8E22B2A1AC546F6B744E36EBCCF07A6">
    <w:name w:val="E8E22B2A1AC546F6B744E36EBCCF07A6"/>
    <w:rsid w:val="00755BEB"/>
  </w:style>
  <w:style w:type="paragraph" w:customStyle="1" w:styleId="EE72932F9E2247668E602734D3A222CE">
    <w:name w:val="EE72932F9E2247668E602734D3A222CE"/>
    <w:rsid w:val="00AF0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Fingerprint Development Methods</vt:lpstr>
    </vt:vector>
  </TitlesOfParts>
  <Company>Charlotte Mecklenburg Schools</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 Development Methods</dc:title>
  <dc:subject/>
  <dc:creator>Raybon, Janet B.</dc:creator>
  <cp:keywords/>
  <dc:description/>
  <cp:lastModifiedBy>Hilton, Codey D.</cp:lastModifiedBy>
  <cp:revision>2</cp:revision>
  <dcterms:created xsi:type="dcterms:W3CDTF">2016-06-28T18:13:00Z</dcterms:created>
  <dcterms:modified xsi:type="dcterms:W3CDTF">2016-06-28T18:13:00Z</dcterms:modified>
</cp:coreProperties>
</file>